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06" w:rsidRDefault="006F0A06">
      <w:bookmarkStart w:id="0" w:name="_GoBack"/>
      <w:bookmarkEnd w:id="0"/>
    </w:p>
    <w:p w:rsidR="006F0A06" w:rsidRDefault="006F0A06" w:rsidP="006F0A06">
      <w:r>
        <w:t>Вопросы по дисциплине Публицистика</w:t>
      </w:r>
    </w:p>
    <w:p w:rsidR="006F0A06" w:rsidRDefault="006F0A06" w:rsidP="006F0A06"/>
    <w:p w:rsidR="006F0A06" w:rsidRDefault="006F0A06" w:rsidP="006F0A06"/>
    <w:p w:rsidR="006F0A06" w:rsidRDefault="006F0A06" w:rsidP="006F0A06">
      <w:pPr>
        <w:pStyle w:val="a5"/>
        <w:numPr>
          <w:ilvl w:val="0"/>
          <w:numId w:val="2"/>
        </w:numPr>
      </w:pPr>
      <w:r>
        <w:t xml:space="preserve">Дайте определение понятию </w:t>
      </w:r>
      <w:r w:rsidR="00D67088">
        <w:t>«современная</w:t>
      </w:r>
      <w:r>
        <w:t xml:space="preserve"> классификация СМИ</w:t>
      </w:r>
      <w:r w:rsidR="00D67088">
        <w:t>».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Назовите газеты и журналы в современной системе СМК.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Определите место и роль печатной журналистики как социального посредника в обществе.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Дайте определение понятию творческий потенциал журналиста.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Установите социально-психологические аспекты деятельности печатного журналиста.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Дайте определение понятию «Процесс становления журналистики как развивающегося института».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Определите сущность и основы медиабизнеса.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Дайте определение понятию печатная продукция СМИ.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Дайте дефиницию понятию тип журналистики.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Опишите проблемы и особенности экономического менеджмента редакционного коллектива.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Прокомментируйте государственную политику в области печатных  СМИ. 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Выберите оптимальные направления работы печатных средств массовой информации.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Объясните процесс восприятия читателями печатной журналистской информации. 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Проанализируйте особенности бизнес-планирования в казахстанских редакциях.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Приведите примеры диалогичности как формы подачи публикаций.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Проанализируйте причины и следствия возникновения печатной журналистики.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Разберите действенность и эффективность печатной журналистики.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Рассмотрите творческие факторы результативности печатной журналистики.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Проанализируйте особенности работы редакции  газеты «Казахстанская правда».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Приведите примеры разных подходов в планировании  в «Казахстанской правде» и газете «Экспресс К».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Запланируйте мероприятия по планированию номера газеты.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Выявите наиболее оптимальные направления работы ежедневной газеты.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Определите цель и задачи работы ежедневной газеты.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Проанализируйте проблемы: периодическая печать и системные основы типологии.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Найдите различия между подачей печатных  материалов и дизайна в качественной и массовой прессе.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Определите структуру типологической системы Казахстана.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Установите связи в редакции как творческом коллективе.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Определите типы и методологические основы творчества в журналистике.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Определите тенденции развития типологической системы печатных СМИ.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Выявите специализацию газетных и журнальных изданий.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Примените инструменты для описания принципов работы в печатном издании. 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Сравните организацию журналистской деятельности газет «Вечерний Алматы» и «Казахстанская правда».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Найдите взаимосвязь традиций и новаторства в изменении типологической системы СМИ.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Объясните различие подачи статей в качественных и массовых периодических изданий.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Критически оцените функциональные аспекты казахстанской журналистики  на современном этапе. 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Сравните культуру профессиональной деятельности политического и новостного журналиста.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Представьте взаимодействие журналистики с общественным мнением и массовым сознанием как механизм реализации функций.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Найдите отличие труда журналиста от других видов творческой деятельности.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Составьте  таблицу «Система средств печатной коммуникации».</w:t>
            </w:r>
          </w:p>
        </w:tc>
      </w:tr>
      <w:tr w:rsidR="006F0A06" w:rsidTr="008E4986">
        <w:trPr>
          <w:tblCellSpacing w:w="0" w:type="dxa"/>
        </w:trPr>
        <w:tc>
          <w:tcPr>
            <w:tcW w:w="399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Найдите взаимосвязь между комплексностью  журналистского труда и индивидуально-коллективным характером. </w:t>
            </w:r>
          </w:p>
        </w:tc>
      </w:tr>
    </w:tbl>
    <w:p w:rsidR="006F0A06" w:rsidRDefault="006F0A06"/>
    <w:p w:rsidR="006F0A06" w:rsidRDefault="006F0A06" w:rsidP="006F0A06">
      <w:pPr>
        <w:pStyle w:val="a5"/>
        <w:numPr>
          <w:ilvl w:val="0"/>
          <w:numId w:val="2"/>
        </w:numPr>
      </w:pPr>
      <w:r w:rsidRPr="006F0A06">
        <w:rPr>
          <w:color w:val="000000"/>
        </w:rPr>
        <w:t>Найдите взаимосвязь между творчеством, оперативностью и непрерывностью.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Напишите сочетание универсальности со специализацией.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Сформулируйте механизмы реализации функций редакционного коллектива печатного издания. 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Выразите понятие «Творческая часть редакционного коллектива». 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Изложите схему формирования казахстанской системы средств массовой информации. 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Разработайте тему «Техническая часть редакционного коллектива»</w:t>
            </w:r>
            <w:r>
              <w:rPr>
                <w:rStyle w:val="a4"/>
                <w:color w:val="000000"/>
              </w:rPr>
              <w:t>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Сформулируйте концепцию изменения структуры редакционного коллектива печатного издания. 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Скомбинируйте план работы журналиста печатного издания.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Критически оцените печатные  СМИ Казахстана.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Приведите примеры эффективной работы печатных СМИ Казахстана.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Дайте прогноз управленческой концепции  печатных СМИ.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Оцените работу редакционной коллегии газеты или журнала: создание, функциональные обязанности.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Выскажите мнение о значении управленческой концепции печатных  СМИ. 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Исследуйте факторы влияния функционирования редакционного коллектива. 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Дайте прогноз исследовательского процесса печатных СМИ.</w:t>
            </w:r>
          </w:p>
          <w:p w:rsidR="006F0A06" w:rsidRDefault="006F0A06" w:rsidP="006F0A06">
            <w:pPr>
              <w:pStyle w:val="a3"/>
              <w:spacing w:before="0" w:beforeAutospacing="0" w:after="0" w:afterAutospacing="0"/>
              <w:ind w:firstLine="45"/>
              <w:rPr>
                <w:color w:val="000000"/>
              </w:rPr>
            </w:pP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Критически оцените работу отдела любой газеты.</w:t>
            </w:r>
          </w:p>
          <w:p w:rsidR="006F0A06" w:rsidRDefault="006F0A06" w:rsidP="006F0A06">
            <w:pPr>
              <w:pStyle w:val="a3"/>
              <w:spacing w:before="0" w:beforeAutospacing="0" w:after="0" w:afterAutospacing="0"/>
              <w:ind w:firstLine="45"/>
              <w:rPr>
                <w:color w:val="000000"/>
              </w:rPr>
            </w:pP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Докажите важность изучения  психологии печатной  журналистики.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Спрогнозируйте производственное и творческое начала редакционного коллектива.  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Оцените возможности организации любого мероприятия газеты.</w:t>
            </w:r>
          </w:p>
        </w:tc>
      </w:tr>
      <w:tr w:rsidR="006F0A06" w:rsidTr="006F0A06">
        <w:trPr>
          <w:tblCellSpacing w:w="0" w:type="dxa"/>
        </w:trPr>
        <w:tc>
          <w:tcPr>
            <w:tcW w:w="960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F0A06" w:rsidRDefault="006F0A06" w:rsidP="006F0A06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Оцените способность отклика читателей печатного издания.</w:t>
            </w:r>
          </w:p>
        </w:tc>
      </w:tr>
    </w:tbl>
    <w:p w:rsidR="000F0BEE" w:rsidRDefault="000F0BEE"/>
    <w:sectPr w:rsidR="000F0BEE" w:rsidSect="000F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53FC"/>
    <w:multiLevelType w:val="hybridMultilevel"/>
    <w:tmpl w:val="87BCC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464FB"/>
    <w:multiLevelType w:val="hybridMultilevel"/>
    <w:tmpl w:val="8AA68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06"/>
    <w:rsid w:val="00006F34"/>
    <w:rsid w:val="00057D03"/>
    <w:rsid w:val="000F0BEE"/>
    <w:rsid w:val="006F0A06"/>
    <w:rsid w:val="00D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0A06"/>
    <w:pPr>
      <w:spacing w:before="100" w:beforeAutospacing="1" w:after="100" w:afterAutospacing="1"/>
    </w:pPr>
  </w:style>
  <w:style w:type="character" w:styleId="a4">
    <w:name w:val="Strong"/>
    <w:basedOn w:val="a0"/>
    <w:qFormat/>
    <w:rsid w:val="006F0A06"/>
    <w:rPr>
      <w:b/>
      <w:bCs/>
    </w:rPr>
  </w:style>
  <w:style w:type="paragraph" w:styleId="a5">
    <w:name w:val="List Paragraph"/>
    <w:basedOn w:val="a"/>
    <w:uiPriority w:val="34"/>
    <w:qFormat/>
    <w:rsid w:val="006F0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0A06"/>
    <w:pPr>
      <w:spacing w:before="100" w:beforeAutospacing="1" w:after="100" w:afterAutospacing="1"/>
    </w:pPr>
  </w:style>
  <w:style w:type="character" w:styleId="a4">
    <w:name w:val="Strong"/>
    <w:basedOn w:val="a0"/>
    <w:qFormat/>
    <w:rsid w:val="006F0A06"/>
    <w:rPr>
      <w:b/>
      <w:bCs/>
    </w:rPr>
  </w:style>
  <w:style w:type="paragraph" w:styleId="a5">
    <w:name w:val="List Paragraph"/>
    <w:basedOn w:val="a"/>
    <w:uiPriority w:val="34"/>
    <w:qFormat/>
    <w:rsid w:val="006F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518</cp:lastModifiedBy>
  <cp:revision>2</cp:revision>
  <dcterms:created xsi:type="dcterms:W3CDTF">2016-11-17T05:49:00Z</dcterms:created>
  <dcterms:modified xsi:type="dcterms:W3CDTF">2016-11-17T05:49:00Z</dcterms:modified>
</cp:coreProperties>
</file>